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87B" w:rsidRDefault="00AB787B" w:rsidP="00AB787B">
      <w:pPr>
        <w:pStyle w:val="NormalWeb"/>
        <w:shd w:val="clear" w:color="auto" w:fill="FFFFFF"/>
        <w:spacing w:before="0" w:beforeAutospacing="0" w:after="0" w:afterAutospacing="0"/>
        <w:ind w:firstLine="720"/>
        <w:jc w:val="both"/>
        <w:rPr>
          <w:rFonts w:ascii="Times New Roman" w:hAnsi="Times New Roman"/>
          <w:b/>
          <w:bCs/>
          <w:color w:val="000000"/>
          <w:sz w:val="28"/>
          <w:szCs w:val="28"/>
          <w:lang w:val="en-US"/>
        </w:rPr>
      </w:pPr>
      <w:bookmarkStart w:id="0" w:name="_GoBack"/>
      <w:bookmarkEnd w:id="0"/>
    </w:p>
    <w:tbl>
      <w:tblPr>
        <w:tblW w:w="0" w:type="auto"/>
        <w:tblLook w:val="01E0" w:firstRow="1" w:lastRow="1" w:firstColumn="1" w:lastColumn="1" w:noHBand="0" w:noVBand="0"/>
      </w:tblPr>
      <w:tblGrid>
        <w:gridCol w:w="3374"/>
        <w:gridCol w:w="5914"/>
      </w:tblGrid>
      <w:tr w:rsidR="00AE0BDC" w:rsidRPr="00AE0BDC" w:rsidTr="000C70AF">
        <w:tc>
          <w:tcPr>
            <w:tcW w:w="3468" w:type="dxa"/>
          </w:tcPr>
          <w:p w:rsidR="00AE0BDC" w:rsidRPr="00AE0BDC" w:rsidRDefault="00AE0BDC" w:rsidP="00AE0BDC">
            <w:pPr>
              <w:spacing w:after="0" w:line="240" w:lineRule="auto"/>
              <w:jc w:val="center"/>
              <w:rPr>
                <w:rFonts w:ascii="Times New Roman" w:eastAsia="Times New Roman" w:hAnsi="Times New Roman" w:cs="Times New Roman"/>
                <w:b/>
                <w:sz w:val="26"/>
                <w:szCs w:val="26"/>
              </w:rPr>
            </w:pPr>
            <w:r w:rsidRPr="00AE0BDC">
              <w:rPr>
                <w:rFonts w:ascii="Times New Roman" w:eastAsia="Times New Roman" w:hAnsi="Times New Roman" w:cs="Times New Roman"/>
                <w:b/>
                <w:sz w:val="26"/>
                <w:szCs w:val="26"/>
              </w:rPr>
              <w:t>ỦY BAN NHÂN DÂN</w:t>
            </w:r>
          </w:p>
          <w:p w:rsidR="00AE0BDC" w:rsidRPr="00AE0BDC" w:rsidRDefault="00AE0BDC" w:rsidP="00AE0BD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noProof/>
                <w:sz w:val="28"/>
                <w:szCs w:val="28"/>
              </w:rPr>
              <mc:AlternateContent>
                <mc:Choice Requires="wps">
                  <w:drawing>
                    <wp:anchor distT="0" distB="0" distL="114300" distR="114300" simplePos="0" relativeHeight="251657216" behindDoc="0" locked="0" layoutInCell="1" allowOverlap="1">
                      <wp:simplePos x="0" y="0"/>
                      <wp:positionH relativeFrom="column">
                        <wp:posOffset>687070</wp:posOffset>
                      </wp:positionH>
                      <wp:positionV relativeFrom="paragraph">
                        <wp:posOffset>215265</wp:posOffset>
                      </wp:positionV>
                      <wp:extent cx="711200" cy="635"/>
                      <wp:effectExtent l="5080" t="10795" r="762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AE0BDC">
              <w:rPr>
                <w:rFonts w:ascii="Times New Roman" w:eastAsia="Times New Roman" w:hAnsi="Times New Roman" w:cs="Times New Roman"/>
                <w:b/>
                <w:sz w:val="26"/>
                <w:szCs w:val="26"/>
              </w:rPr>
              <w:t>XÃ LIÊN MINH</w:t>
            </w:r>
          </w:p>
        </w:tc>
        <w:tc>
          <w:tcPr>
            <w:tcW w:w="6103" w:type="dxa"/>
          </w:tcPr>
          <w:p w:rsidR="00AE0BDC" w:rsidRPr="00AE0BDC" w:rsidRDefault="00AE0BDC" w:rsidP="00AE0BDC">
            <w:pPr>
              <w:spacing w:after="0" w:line="240" w:lineRule="auto"/>
              <w:jc w:val="center"/>
              <w:rPr>
                <w:rFonts w:ascii="Times New Roman" w:eastAsia="Times New Roman" w:hAnsi="Times New Roman" w:cs="Times New Roman"/>
                <w:b/>
                <w:sz w:val="26"/>
                <w:szCs w:val="26"/>
              </w:rPr>
            </w:pPr>
            <w:r w:rsidRPr="00AE0BDC">
              <w:rPr>
                <w:rFonts w:ascii="Times New Roman" w:eastAsia="Times New Roman" w:hAnsi="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AE0BDC">
                  <w:rPr>
                    <w:rFonts w:ascii="Times New Roman" w:eastAsia="Times New Roman" w:hAnsi="Times New Roman" w:cs="Times New Roman"/>
                    <w:b/>
                    <w:sz w:val="26"/>
                    <w:szCs w:val="26"/>
                  </w:rPr>
                  <w:t>NAM</w:t>
                </w:r>
              </w:smartTag>
            </w:smartTag>
          </w:p>
          <w:p w:rsidR="00AE0BDC" w:rsidRPr="00AE0BDC" w:rsidRDefault="00AE0BDC" w:rsidP="00AE0BDC">
            <w:pPr>
              <w:spacing w:after="0" w:line="240" w:lineRule="auto"/>
              <w:jc w:val="center"/>
              <w:rPr>
                <w:rFonts w:ascii="Times New Roman" w:eastAsia="Times New Roman" w:hAnsi="Times New Roman" w:cs="Times New Roman"/>
                <w:b/>
                <w:sz w:val="28"/>
                <w:szCs w:val="28"/>
              </w:rPr>
            </w:pPr>
            <w:r w:rsidRPr="00AE0BDC">
              <w:rPr>
                <w:rFonts w:ascii="Times New Roman" w:eastAsia="Times New Roman" w:hAnsi="Times New Roman" w:cs="Times New Roman"/>
                <w:b/>
                <w:sz w:val="28"/>
                <w:szCs w:val="28"/>
              </w:rPr>
              <w:t>Độc lập – Tự do – Hạnh phúc</w:t>
            </w:r>
          </w:p>
          <w:p w:rsidR="00AE0BDC" w:rsidRPr="00AE0BDC" w:rsidRDefault="00AE0BDC" w:rsidP="00AE0BD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802005</wp:posOffset>
                      </wp:positionH>
                      <wp:positionV relativeFrom="paragraph">
                        <wp:posOffset>13970</wp:posOffset>
                      </wp:positionV>
                      <wp:extent cx="2133600" cy="0"/>
                      <wp:effectExtent l="7620"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tbl>
    <w:p w:rsidR="00AB787B" w:rsidRPr="00AE0BDC" w:rsidRDefault="00AB787B" w:rsidP="00AB787B">
      <w:pPr>
        <w:spacing w:after="0" w:line="240" w:lineRule="auto"/>
        <w:jc w:val="center"/>
        <w:outlineLvl w:val="0"/>
        <w:rPr>
          <w:rFonts w:ascii="Times New Roman" w:eastAsia="Times New Roman" w:hAnsi="Times New Roman" w:cs="Times New Roman"/>
          <w:b/>
          <w:bCs/>
          <w:color w:val="000000"/>
          <w:kern w:val="36"/>
          <w:szCs w:val="28"/>
        </w:rPr>
      </w:pPr>
    </w:p>
    <w:p w:rsidR="00AB787B" w:rsidRDefault="00851A57" w:rsidP="00AB787B">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 xml:space="preserve">          </w:t>
      </w:r>
      <w:r w:rsidR="0075649B">
        <w:rPr>
          <w:rFonts w:ascii="Times New Roman" w:eastAsia="Times New Roman" w:hAnsi="Times New Roman" w:cs="Times New Roman"/>
          <w:b/>
          <w:bCs/>
          <w:color w:val="000000"/>
          <w:kern w:val="36"/>
          <w:sz w:val="28"/>
          <w:szCs w:val="28"/>
        </w:rPr>
        <w:t xml:space="preserve">BÀI TUYÊN TRUYỀN </w:t>
      </w:r>
    </w:p>
    <w:p w:rsidR="00AB787B" w:rsidRPr="0075649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lang w:val="en-US"/>
        </w:rPr>
      </w:pPr>
      <w:r w:rsidRPr="00AB787B">
        <w:rPr>
          <w:rFonts w:ascii="Times New Roman" w:hAnsi="Times New Roman"/>
          <w:b/>
          <w:bCs/>
          <w:color w:val="000000"/>
          <w:sz w:val="28"/>
          <w:szCs w:val="28"/>
        </w:rPr>
        <w:t>NGUYÊN TẮC XÁC LẬP, THỰC HIỆN QUYỀN SỞ HỮU, QUYỀN KHÁC ĐỐI VỚI TÀI SẢN</w:t>
      </w:r>
      <w:r w:rsidR="0075649B">
        <w:rPr>
          <w:rFonts w:ascii="Times New Roman" w:hAnsi="Times New Roman"/>
          <w:b/>
          <w:bCs/>
          <w:color w:val="000000"/>
          <w:sz w:val="28"/>
          <w:szCs w:val="28"/>
          <w:lang w:val="en-US"/>
        </w:rPr>
        <w:t>(Bộ luật dân sự năm 2015).</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1" w:name="dieu_158"/>
      <w:r w:rsidRPr="00AB787B">
        <w:rPr>
          <w:rFonts w:ascii="Times New Roman" w:hAnsi="Times New Roman"/>
          <w:b/>
          <w:bCs/>
          <w:color w:val="000000"/>
          <w:sz w:val="28"/>
          <w:szCs w:val="28"/>
        </w:rPr>
        <w:t>Điều 158. Quyền sở hữu</w:t>
      </w:r>
      <w:bookmarkEnd w:id="1"/>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Quyền sở hữu bao gồm quyền chiếm hữu, quyền sử dụng và quyền định đoạt tài sản của chủ sở hữu theo quy định của luật.</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2" w:name="dieu_159"/>
      <w:r w:rsidRPr="00AB787B">
        <w:rPr>
          <w:rFonts w:ascii="Times New Roman" w:hAnsi="Times New Roman"/>
          <w:b/>
          <w:bCs/>
          <w:color w:val="000000"/>
          <w:sz w:val="28"/>
          <w:szCs w:val="28"/>
        </w:rPr>
        <w:t>Điều 159. Quyền khác đối với tài sản</w:t>
      </w:r>
      <w:bookmarkEnd w:id="2"/>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Quyền khác đối với tài sản là quyền của chủ thể trực tiếp nắm giữ, chi phối tài sản thuộc quyền sở hữu của chủ thể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Quyền khác đối với tài sản bao gồm:</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a) Quyền đối với bất động sản liền kề;</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b) Quyền hưởng dụng;</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c) Quyền bề mặt.</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3" w:name="dieu_160"/>
      <w:r w:rsidRPr="00AB787B">
        <w:rPr>
          <w:rFonts w:ascii="Times New Roman" w:hAnsi="Times New Roman"/>
          <w:b/>
          <w:bCs/>
          <w:color w:val="000000"/>
          <w:sz w:val="28"/>
          <w:szCs w:val="28"/>
        </w:rPr>
        <w:t>Điều 160. Nguyên tắc xác lập, thực hiện quyền sở hữu, quyền khác đối với tài sản</w:t>
      </w:r>
      <w:bookmarkEnd w:id="3"/>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Quyền sở hữu, quyền khác đối với tài sản được xác lập, thực hiện trong trường hợp Bộ luật này, luật khác có liên quan quy định.</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Quyền khác đối với tài sản vẫn có hiệu lực trong trường hợp quyền sở hữu được chuyển giao, trừ trường hợp Bộ luật này, luật khác có liên quan quy định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Chủ sở hữu được thực hiện mọi hành vi theo ý chí của mình đối với tài sản nhưng không được trái với quy định của luật, gây thiệt hại hoặc làm ảnh hưởng đến lợi ích quốc gia, dân tộc, lợi ích công cộng, quyền và lợi ích hợp pháp của người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3. Chủ thể có quyền khác đối với tài sản được thực hiện mọi hành vi trong phạm vi quyền được quy định tại Bộ luật này, luật khác có liên quan nhưng không được gây thiệt hại hoặc làm ảnh hưởng đến lợi ích quốc gia, dân tộc, lợi ích công cộng, quyền và lợi ích hợp pháp của chủ sở hữu tài sản hoặc của người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4" w:name="dieu_161"/>
      <w:r w:rsidRPr="00AB787B">
        <w:rPr>
          <w:rFonts w:ascii="Times New Roman" w:hAnsi="Times New Roman"/>
          <w:b/>
          <w:bCs/>
          <w:color w:val="000000"/>
          <w:sz w:val="28"/>
          <w:szCs w:val="28"/>
        </w:rPr>
        <w:t>Điều 161. Thời điểm xác lập quyền sở hữu, quyền khác đối với tài sản</w:t>
      </w:r>
      <w:bookmarkEnd w:id="4"/>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Thời điểm xác lập quyền sở hữu, quyền khác đối với tài sản thực hiện theo quy định của Bộ luật này, luật khác có liên quan; trường hợp luật không có quy định thì thực hiện theo thỏa thuận của các bên; trường hợp luật không quy định và các bên không có thỏa thuận thì thời điểm xác lập quyền sở hữu, quyền khác đối với tài sản là thời điểm tài sản được chuyển giao.</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Thời điểm tài sản được chuyển giao là thời điểm bên có quyền hoặc người đại diện hợp pháp của họ chiếm hữu tài sản.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Trường hợp tài sản chưa được chuyển giao mà phát sinh hoa lợi, lợi tức thì hoa lợi, lợi tức thuộc về bên có tài sản chuyển giao, trừ trường hợp có thỏa thuận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5" w:name="dieu_162"/>
      <w:r w:rsidRPr="00AB787B">
        <w:rPr>
          <w:rFonts w:ascii="Times New Roman" w:hAnsi="Times New Roman"/>
          <w:b/>
          <w:bCs/>
          <w:color w:val="000000"/>
          <w:sz w:val="28"/>
          <w:szCs w:val="28"/>
        </w:rPr>
        <w:t>Điều 162. Chịu rủi ro về tài sản</w:t>
      </w:r>
      <w:bookmarkEnd w:id="5"/>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lastRenderedPageBreak/>
        <w:t>1. Chủ sở hữu phải chịu rủi ro về tài sản thuộc sở hữu của mình, trừ trường hợp có thỏa thuận khác hoặc Bộ luật này, luật khác có liên quan quy định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Chủ thể có quyền khác đối với tài sản phải chịu rủi ro về tài sản trong phạm vi quyền của mình, trừ trường hợp có thỏa thuận khác với chủ sở hữu tài sản hoặc Bộ luật này, luật khác có liên quan quy định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6" w:name="muc_2_2"/>
      <w:r w:rsidRPr="00AB787B">
        <w:rPr>
          <w:rFonts w:ascii="Times New Roman" w:hAnsi="Times New Roman"/>
          <w:b/>
          <w:bCs/>
          <w:color w:val="000000"/>
          <w:sz w:val="28"/>
          <w:szCs w:val="28"/>
        </w:rPr>
        <w:t>Mục 2. BẢO VỆ QUYỀN SỞ HỮU, QUYỀN KHÁC ĐỐI VỚI TÀI SẢN</w:t>
      </w:r>
      <w:bookmarkEnd w:id="6"/>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7" w:name="dieu_163"/>
      <w:r w:rsidRPr="00AB787B">
        <w:rPr>
          <w:rFonts w:ascii="Times New Roman" w:hAnsi="Times New Roman"/>
          <w:b/>
          <w:bCs/>
          <w:color w:val="000000"/>
          <w:sz w:val="28"/>
          <w:szCs w:val="28"/>
        </w:rPr>
        <w:t>Điều 163. Bảo vệ quyền sở hữu, quyền khác đối với tài sản</w:t>
      </w:r>
      <w:bookmarkEnd w:id="7"/>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Không ai có thể bị hạn chế, bị tước đoạt trái luật quyền sở hữu, quyền khác đối với tài sản.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Trường hợp thật cần thiết vì lý do quốc phòng, an ninh hoặc vì lợi ích quốc gia, tình trạng khẩn cấp, phòng chống thiên tai, Nhà nước trưng mua hoặc trưng dụng có bồi thường tài sản của tổ chức, cá nhân theo giá thị trường.</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8" w:name="dieu_164"/>
      <w:r w:rsidRPr="00AB787B">
        <w:rPr>
          <w:rFonts w:ascii="Times New Roman" w:hAnsi="Times New Roman"/>
          <w:b/>
          <w:bCs/>
          <w:color w:val="000000"/>
          <w:sz w:val="28"/>
          <w:szCs w:val="28"/>
        </w:rPr>
        <w:t>Điều 164. Biện pháp bảo vệ quyền sở hữu, quyền khác đối với tài sản</w:t>
      </w:r>
      <w:bookmarkEnd w:id="8"/>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Chủ sở hữu, chủ thể có quyền khác đối với tài sản có quyền tự bảo vệ, ngăn chặn bất kỳ người nào có hành vi xâm phạm quyền của mình bằng những biện pháp không trái với quy định của pháp luật.</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Chủ sở hữu, chủ thể có quyền khác đối với tài sản có quyền yêu cầu Tòa án, cơ quan nhà nước có thẩm quyền khác buộc người có hành vi xâm phạm quyền phải trả lại tài sản, chấm dứt hành vi cản trở trái pháp luật việc thực hiện quyền sở hữu, quyền khác đối với tài sản và yêu cầu bồi thường thiệt hại.</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9" w:name="dieu_165"/>
      <w:r w:rsidRPr="00AB787B">
        <w:rPr>
          <w:rFonts w:ascii="Times New Roman" w:hAnsi="Times New Roman"/>
          <w:b/>
          <w:bCs/>
          <w:color w:val="000000"/>
          <w:sz w:val="28"/>
          <w:szCs w:val="28"/>
        </w:rPr>
        <w:t>Điều 165. Chiếm hữu có căn cứ pháp luật</w:t>
      </w:r>
      <w:bookmarkEnd w:id="9"/>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Chiếm hữu có căn cứ pháp luật là việc chiếm hữu tài sản trong trường hợp sau đây:</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a) Chủ sở hữu chiếm hữu tài sản;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b) Người được chủ sở hữu ủy quyền quản lý tài sản;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c) Người được chuyển giao quyền chiếm hữu thông qua giao dịch dân sự phù hợp với quy định của pháp luật;</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d) Người phát hiện và giữ tài sản vô chủ, tài sản không xác định được ai là chủ sở hữu, tài sản bị đánh rơi, bị bỏ quên, bị chôn, giấu, bị vùi lấp, chìm đắm phù hợp với điều kiện theo quy định của Bộ luật này, quy định khác của pháp luật có liên quan;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đ) Người phát hiện và giữ gia súc, gia cầm, vật nuôi dưới nước bị thất lạc phù hợp với điều kiện theo quy định của Bộ luật này, quy định khác của pháp luật có liên quan;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e) Trường hợp khác do pháp luật quy định.</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Việc chiếm hữu tài sản không phù hợp với quy định tại khoản 1 Điều này là chiếm hữu không có căn cứ pháp luật.</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10" w:name="dieu_166"/>
      <w:r w:rsidRPr="00AB787B">
        <w:rPr>
          <w:rFonts w:ascii="Times New Roman" w:hAnsi="Times New Roman"/>
          <w:b/>
          <w:bCs/>
          <w:color w:val="000000"/>
          <w:sz w:val="28"/>
          <w:szCs w:val="28"/>
        </w:rPr>
        <w:t>Điều 166. Quyền đòi lại tài sản</w:t>
      </w:r>
      <w:bookmarkEnd w:id="10"/>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Chủ sở hữu, chủ thể có quyền khác đối với tài sản có quyền đòi lại tài sản từ người chiếm hữu, người sử dụng tài sản, người được lợi về tài sản không có căn cứ pháp luật.</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Chủ sở hữu không có quyền đòi lại tài sản từ sự chiếm hữu của chủ thể đang có quyền khác đối với tài sản đó.</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11" w:name="dieu_167"/>
      <w:r w:rsidRPr="00AB787B">
        <w:rPr>
          <w:rFonts w:ascii="Times New Roman" w:hAnsi="Times New Roman"/>
          <w:b/>
          <w:bCs/>
          <w:color w:val="000000"/>
          <w:sz w:val="28"/>
          <w:szCs w:val="28"/>
        </w:rPr>
        <w:t>Điều 167. Quyền đòi lại động sản không phải đăng ký quyền sở hữu từ người chiếm hữu ngay tình</w:t>
      </w:r>
      <w:bookmarkEnd w:id="11"/>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lastRenderedPageBreak/>
        <w:t>Chủ sở hữu có quyền đòi lại động sản không phải đăng ký quyền sở hữu từ người chiếm hữu ngay tình trong trường hợp người chiếm hữu ngay tình có được động sản này thông qua hợp đồng không có đền bù với người không có quyền định đoạt tài sản; trường hợp hợp đồng này là hợp đồng có đền bù thì chủ sở hữu có quyền đòi lại động sản nếu động sản đó bị lấy cắp, bị mất hoặc trường hợp khác bị chiếm hữu ngoài ý chí của chủ sở hữu.</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12" w:name="dieu_168"/>
      <w:r w:rsidRPr="00AB787B">
        <w:rPr>
          <w:rFonts w:ascii="Times New Roman" w:hAnsi="Times New Roman"/>
          <w:b/>
          <w:bCs/>
          <w:color w:val="000000"/>
          <w:sz w:val="28"/>
          <w:szCs w:val="28"/>
        </w:rPr>
        <w:t>Điều 168. Quyền đòi lại động sản phải đăng ký quyền sở hữu hoặc bất động sản từ người chiếm hữu ngay tình</w:t>
      </w:r>
      <w:bookmarkEnd w:id="12"/>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Chủ sở hữu được đòi lại động sản phải đăng ký quyền sở hữu hoặc bất động sản từ người chiếm hữu ngay tình, trừ trường hợp quy định tại khoản 2 Điều 133 của Bộ luật này.</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13" w:name="dieu_169"/>
      <w:r w:rsidRPr="00AB787B">
        <w:rPr>
          <w:rFonts w:ascii="Times New Roman" w:hAnsi="Times New Roman"/>
          <w:b/>
          <w:bCs/>
          <w:color w:val="000000"/>
          <w:sz w:val="28"/>
          <w:szCs w:val="28"/>
        </w:rPr>
        <w:t>Điều 169. Quyền yêu cầu chấm dứt hành vi cản trở trái pháp luật đối với việc thực hiện quyền sở hữu, quyền khác đối với tài sản</w:t>
      </w:r>
      <w:bookmarkEnd w:id="13"/>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Khi thực hiện quyền sở hữu, quyền khác đối với tài sản, chủ thể có quyền yêu cầu người có hành vi cản trở trái pháp luật phải chấm dứt hành vi đó hoặc có quyền yêu cầu Tòa án, cơ quan nhà nước có thẩm quyền khác buộc người đó chấm dứt hành vi vi phạm.</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14" w:name="dieu_170"/>
      <w:r w:rsidRPr="00AB787B">
        <w:rPr>
          <w:rFonts w:ascii="Times New Roman" w:hAnsi="Times New Roman"/>
          <w:b/>
          <w:bCs/>
          <w:color w:val="000000"/>
          <w:sz w:val="28"/>
          <w:szCs w:val="28"/>
        </w:rPr>
        <w:t>Điều 170. Quyền yêu cầu bồi thường thiệt hại</w:t>
      </w:r>
      <w:bookmarkEnd w:id="14"/>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Chủ sở hữu, chủ thể có quyền khác đối với tài sản có quyền yêu cầu người có hành vi xâm phạm quyền sở hữu, quyền khác đối với tài sản bồi thường thiệt hại.</w:t>
      </w:r>
    </w:p>
    <w:p w:rsidR="00B93631" w:rsidRPr="00AB787B" w:rsidRDefault="00B93631">
      <w:pPr>
        <w:rPr>
          <w:rFonts w:ascii="Times New Roman" w:hAnsi="Times New Roman" w:cs="Times New Roman"/>
        </w:rPr>
      </w:pPr>
    </w:p>
    <w:sectPr w:rsidR="00B93631" w:rsidRPr="00AB787B" w:rsidSect="00AB787B">
      <w:pgSz w:w="11907" w:h="16840" w:code="9"/>
      <w:pgMar w:top="426"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87B"/>
    <w:rsid w:val="0075104F"/>
    <w:rsid w:val="0075649B"/>
    <w:rsid w:val="00807F0A"/>
    <w:rsid w:val="00851A57"/>
    <w:rsid w:val="00AB787B"/>
    <w:rsid w:val="00AE0BDC"/>
    <w:rsid w:val="00B93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locked/>
    <w:rsid w:val="00AB787B"/>
    <w:rPr>
      <w:rFonts w:eastAsia="Times New Roman" w:cs="Times New Roman"/>
      <w:sz w:val="24"/>
      <w:szCs w:val="24"/>
      <w:lang w:val="x-none" w:eastAsia="x-none"/>
    </w:rPr>
  </w:style>
  <w:style w:type="paragraph" w:styleId="NormalWeb">
    <w:name w:val="Normal (Web)"/>
    <w:basedOn w:val="Normal"/>
    <w:link w:val="NormalWebChar"/>
    <w:unhideWhenUsed/>
    <w:rsid w:val="00AB787B"/>
    <w:pPr>
      <w:spacing w:before="100" w:beforeAutospacing="1" w:after="100" w:afterAutospacing="1" w:line="240" w:lineRule="auto"/>
    </w:pPr>
    <w:rPr>
      <w:rFonts w:eastAsia="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locked/>
    <w:rsid w:val="00AB787B"/>
    <w:rPr>
      <w:rFonts w:eastAsia="Times New Roman" w:cs="Times New Roman"/>
      <w:sz w:val="24"/>
      <w:szCs w:val="24"/>
      <w:lang w:val="x-none" w:eastAsia="x-none"/>
    </w:rPr>
  </w:style>
  <w:style w:type="paragraph" w:styleId="NormalWeb">
    <w:name w:val="Normal (Web)"/>
    <w:basedOn w:val="Normal"/>
    <w:link w:val="NormalWebChar"/>
    <w:unhideWhenUsed/>
    <w:rsid w:val="00AB787B"/>
    <w:pPr>
      <w:spacing w:before="100" w:beforeAutospacing="1" w:after="100" w:afterAutospacing="1" w:line="240" w:lineRule="auto"/>
    </w:pPr>
    <w:rPr>
      <w:rFonts w:eastAsia="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7B0976-90BE-484B-9CB9-68DA9221B545}"/>
</file>

<file path=customXml/itemProps2.xml><?xml version="1.0" encoding="utf-8"?>
<ds:datastoreItem xmlns:ds="http://schemas.openxmlformats.org/officeDocument/2006/customXml" ds:itemID="{1752C4F1-F1DE-4E3F-B16E-66E5CF91CC93}"/>
</file>

<file path=customXml/itemProps3.xml><?xml version="1.0" encoding="utf-8"?>
<ds:datastoreItem xmlns:ds="http://schemas.openxmlformats.org/officeDocument/2006/customXml" ds:itemID="{739E2D81-69B0-4887-B62F-9F90705C1FF5}"/>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2</cp:revision>
  <dcterms:created xsi:type="dcterms:W3CDTF">2022-09-27T04:01:00Z</dcterms:created>
  <dcterms:modified xsi:type="dcterms:W3CDTF">2022-09-27T04:01:00Z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